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E66FD" w14:textId="1A66E14B" w:rsidR="008250B1" w:rsidRDefault="003F041D">
      <w:pPr>
        <w:spacing w:after="0"/>
        <w:ind w:left="9908" w:right="-15" w:hanging="10"/>
        <w:jc w:val="right"/>
      </w:pPr>
      <w:r>
        <w:rPr>
          <w:rFonts w:ascii="Times New Roman" w:eastAsia="Times New Roman" w:hAnsi="Times New Roman" w:cs="Times New Roman"/>
          <w:color w:val="FF0000"/>
        </w:rPr>
        <w:t xml:space="preserve"> </w:t>
      </w:r>
    </w:p>
    <w:tbl>
      <w:tblPr>
        <w:tblStyle w:val="TableGrid"/>
        <w:tblW w:w="10844" w:type="dxa"/>
        <w:tblInd w:w="92" w:type="dxa"/>
        <w:tblCellMar>
          <w:top w:w="5" w:type="dxa"/>
          <w:left w:w="106" w:type="dxa"/>
          <w:right w:w="115" w:type="dxa"/>
        </w:tblCellMar>
        <w:tblLook w:val="04A0" w:firstRow="1" w:lastRow="0" w:firstColumn="1" w:lastColumn="0" w:noHBand="0" w:noVBand="1"/>
      </w:tblPr>
      <w:tblGrid>
        <w:gridCol w:w="10603"/>
        <w:gridCol w:w="235"/>
        <w:gridCol w:w="6"/>
      </w:tblGrid>
      <w:tr w:rsidR="008250B1" w14:paraId="1578609C" w14:textId="77777777" w:rsidTr="005A27B9">
        <w:trPr>
          <w:gridAfter w:val="1"/>
          <w:wAfter w:w="6" w:type="dxa"/>
          <w:trHeight w:val="840"/>
        </w:trPr>
        <w:tc>
          <w:tcPr>
            <w:tcW w:w="10838" w:type="dxa"/>
            <w:gridSpan w:val="2"/>
            <w:tcBorders>
              <w:top w:val="single" w:sz="4" w:space="0" w:color="000000"/>
              <w:left w:val="single" w:sz="4" w:space="0" w:color="000000"/>
              <w:bottom w:val="single" w:sz="4" w:space="0" w:color="000000"/>
              <w:right w:val="single" w:sz="4" w:space="0" w:color="000000"/>
            </w:tcBorders>
            <w:vAlign w:val="bottom"/>
          </w:tcPr>
          <w:p w14:paraId="7BF1ED2B" w14:textId="32543E6A" w:rsidR="008250B1" w:rsidRDefault="003F041D">
            <w:pPr>
              <w:ind w:left="2455"/>
            </w:pPr>
            <w:r>
              <w:rPr>
                <w:rFonts w:ascii="Times New Roman" w:eastAsia="Times New Roman" w:hAnsi="Times New Roman" w:cs="Times New Roman"/>
                <w:b/>
                <w:sz w:val="24"/>
              </w:rPr>
              <w:t xml:space="preserve"> </w:t>
            </w:r>
            <w:r w:rsidR="003169EE">
              <w:rPr>
                <w:b/>
                <w:bCs/>
                <w:i/>
                <w:iCs/>
                <w:noProof/>
                <w:sz w:val="18"/>
                <w:szCs w:val="18"/>
              </w:rPr>
              <w:drawing>
                <wp:inline distT="0" distB="0" distL="0" distR="0" wp14:anchorId="5BD8F7B3" wp14:editId="2DA372F5">
                  <wp:extent cx="463550" cy="400050"/>
                  <wp:effectExtent l="0" t="0" r="1270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3550" cy="400050"/>
                          </a:xfrm>
                          <a:prstGeom prst="rect">
                            <a:avLst/>
                          </a:prstGeom>
                          <a:noFill/>
                          <a:ln>
                            <a:noFill/>
                          </a:ln>
                        </pic:spPr>
                      </pic:pic>
                    </a:graphicData>
                  </a:graphic>
                </wp:inline>
              </w:drawing>
            </w:r>
            <w:r w:rsidR="003169EE">
              <w:rPr>
                <w:rFonts w:ascii="Times New Roman" w:eastAsia="Times New Roman" w:hAnsi="Times New Roman" w:cs="Times New Roman"/>
                <w:b/>
                <w:sz w:val="24"/>
              </w:rPr>
              <w:t>SIA “Tukuma siltums “</w:t>
            </w:r>
          </w:p>
          <w:p w14:paraId="0B249518" w14:textId="4F33E564" w:rsidR="008250B1" w:rsidRDefault="003F041D">
            <w:pPr>
              <w:ind w:right="173"/>
              <w:jc w:val="center"/>
            </w:pPr>
            <w:r>
              <w:rPr>
                <w:rFonts w:ascii="Times New Roman" w:eastAsia="Times New Roman" w:hAnsi="Times New Roman" w:cs="Times New Roman"/>
                <w:b/>
                <w:sz w:val="24"/>
              </w:rPr>
              <w:t xml:space="preserve">Vidēja termiņa darbības stratēģijā </w:t>
            </w:r>
            <w:r w:rsidR="004A6393">
              <w:rPr>
                <w:rFonts w:ascii="Times New Roman" w:eastAsia="Times New Roman" w:hAnsi="Times New Roman" w:cs="Times New Roman"/>
                <w:b/>
                <w:sz w:val="24"/>
              </w:rPr>
              <w:t>20</w:t>
            </w:r>
            <w:r w:rsidR="005A27B9">
              <w:rPr>
                <w:rFonts w:ascii="Times New Roman" w:eastAsia="Times New Roman" w:hAnsi="Times New Roman" w:cs="Times New Roman"/>
                <w:b/>
                <w:sz w:val="24"/>
              </w:rPr>
              <w:t>22</w:t>
            </w:r>
            <w:r w:rsidR="004A6393">
              <w:rPr>
                <w:rFonts w:ascii="Times New Roman" w:eastAsia="Times New Roman" w:hAnsi="Times New Roman" w:cs="Times New Roman"/>
                <w:b/>
                <w:sz w:val="24"/>
              </w:rPr>
              <w:t>-202</w:t>
            </w:r>
            <w:r w:rsidR="005A27B9">
              <w:rPr>
                <w:rFonts w:ascii="Times New Roman" w:eastAsia="Times New Roman" w:hAnsi="Times New Roman" w:cs="Times New Roman"/>
                <w:b/>
                <w:sz w:val="24"/>
              </w:rPr>
              <w:t>3</w:t>
            </w:r>
            <w:r w:rsidR="004A6393">
              <w:rPr>
                <w:rFonts w:ascii="Times New Roman" w:eastAsia="Times New Roman" w:hAnsi="Times New Roman" w:cs="Times New Roman"/>
                <w:b/>
                <w:sz w:val="24"/>
              </w:rPr>
              <w:t xml:space="preserve">.g. </w:t>
            </w:r>
            <w:r>
              <w:rPr>
                <w:rFonts w:ascii="Times New Roman" w:eastAsia="Times New Roman" w:hAnsi="Times New Roman" w:cs="Times New Roman"/>
                <w:b/>
                <w:sz w:val="24"/>
              </w:rPr>
              <w:t xml:space="preserve">noteikto </w:t>
            </w:r>
            <w:r w:rsidR="004A6393">
              <w:rPr>
                <w:rFonts w:ascii="Times New Roman" w:eastAsia="Times New Roman" w:hAnsi="Times New Roman" w:cs="Times New Roman"/>
                <w:b/>
                <w:sz w:val="24"/>
              </w:rPr>
              <w:t>stratēģiskie</w:t>
            </w:r>
            <w:r>
              <w:rPr>
                <w:rFonts w:ascii="Times New Roman" w:eastAsia="Times New Roman" w:hAnsi="Times New Roman" w:cs="Times New Roman"/>
                <w:b/>
                <w:sz w:val="24"/>
              </w:rPr>
              <w:t xml:space="preserve"> mērķ</w:t>
            </w:r>
            <w:r w:rsidR="004A6393">
              <w:rPr>
                <w:rFonts w:ascii="Times New Roman" w:eastAsia="Times New Roman" w:hAnsi="Times New Roman" w:cs="Times New Roman"/>
                <w:b/>
                <w:sz w:val="24"/>
              </w:rPr>
              <w:t>i un to</w:t>
            </w:r>
            <w:r>
              <w:rPr>
                <w:rFonts w:ascii="Times New Roman" w:eastAsia="Times New Roman" w:hAnsi="Times New Roman" w:cs="Times New Roman"/>
                <w:b/>
                <w:sz w:val="24"/>
              </w:rPr>
              <w:t xml:space="preserve"> sasniegšana </w:t>
            </w:r>
            <w:r w:rsidR="004A6393">
              <w:rPr>
                <w:rFonts w:ascii="Times New Roman" w:eastAsia="Times New Roman" w:hAnsi="Times New Roman" w:cs="Times New Roman"/>
                <w:b/>
                <w:sz w:val="24"/>
              </w:rPr>
              <w:t>.</w:t>
            </w:r>
          </w:p>
        </w:tc>
      </w:tr>
      <w:tr w:rsidR="008250B1" w14:paraId="6A86D446" w14:textId="77777777" w:rsidTr="004A6393">
        <w:trPr>
          <w:gridAfter w:val="1"/>
          <w:wAfter w:w="6" w:type="dxa"/>
          <w:trHeight w:val="328"/>
        </w:trPr>
        <w:tc>
          <w:tcPr>
            <w:tcW w:w="10838" w:type="dxa"/>
            <w:gridSpan w:val="2"/>
            <w:tcBorders>
              <w:top w:val="single" w:sz="4" w:space="0" w:color="000000"/>
              <w:left w:val="single" w:sz="4" w:space="0" w:color="000000"/>
              <w:bottom w:val="double" w:sz="15" w:space="0" w:color="000000"/>
              <w:right w:val="single" w:sz="4" w:space="0" w:color="000000"/>
            </w:tcBorders>
          </w:tcPr>
          <w:p w14:paraId="54AC2150" w14:textId="6555BA39" w:rsidR="008250B1" w:rsidRDefault="008250B1">
            <w:pPr>
              <w:ind w:right="178"/>
              <w:jc w:val="center"/>
            </w:pPr>
          </w:p>
        </w:tc>
      </w:tr>
      <w:tr w:rsidR="004A6393" w14:paraId="6A3CF2D8" w14:textId="77777777" w:rsidTr="004A6393">
        <w:trPr>
          <w:trHeight w:val="4191"/>
        </w:trPr>
        <w:tc>
          <w:tcPr>
            <w:tcW w:w="10603" w:type="dxa"/>
            <w:tcBorders>
              <w:top w:val="double" w:sz="15" w:space="0" w:color="000000"/>
              <w:left w:val="double" w:sz="15" w:space="0" w:color="000000"/>
              <w:right w:val="single" w:sz="4" w:space="0" w:color="000000"/>
            </w:tcBorders>
          </w:tcPr>
          <w:p w14:paraId="7229ED44" w14:textId="77777777" w:rsidR="005A27B9" w:rsidRPr="005A27B9" w:rsidRDefault="005A27B9" w:rsidP="005A27B9">
            <w:pPr>
              <w:ind w:left="4"/>
              <w:jc w:val="center"/>
              <w:rPr>
                <w:rFonts w:ascii="Times New Roman" w:hAnsi="Times New Roman" w:cs="Times New Roman"/>
                <w:b/>
                <w:sz w:val="24"/>
                <w:szCs w:val="24"/>
              </w:rPr>
            </w:pPr>
            <w:r w:rsidRPr="005A27B9">
              <w:rPr>
                <w:rFonts w:ascii="Times New Roman" w:hAnsi="Times New Roman" w:cs="Times New Roman"/>
                <w:b/>
                <w:sz w:val="24"/>
                <w:szCs w:val="24"/>
              </w:rPr>
              <w:t>Sabiedrības attīstības stratēģiskie mērķi</w:t>
            </w:r>
          </w:p>
          <w:p w14:paraId="4D803945"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Visaptverošs stratēģijas jēdziens ietver šādas sastāvdaļas.</w:t>
            </w:r>
          </w:p>
          <w:p w14:paraId="4B21F7BD" w14:textId="77777777" w:rsidR="005A27B9" w:rsidRPr="005A27B9" w:rsidRDefault="005A27B9" w:rsidP="005A27B9">
            <w:pPr>
              <w:numPr>
                <w:ilvl w:val="0"/>
                <w:numId w:val="4"/>
              </w:numPr>
              <w:rPr>
                <w:rFonts w:ascii="Times New Roman" w:hAnsi="Times New Roman" w:cs="Times New Roman"/>
                <w:sz w:val="24"/>
                <w:szCs w:val="24"/>
              </w:rPr>
            </w:pPr>
            <w:r w:rsidRPr="005A27B9">
              <w:rPr>
                <w:rFonts w:ascii="Times New Roman" w:hAnsi="Times New Roman" w:cs="Times New Roman"/>
                <w:sz w:val="24"/>
                <w:szCs w:val="24"/>
              </w:rPr>
              <w:t>Stratēģija ir loģisku, integrējošu un sabalansētu lēmumu sistēma.</w:t>
            </w:r>
          </w:p>
          <w:p w14:paraId="7129E82C" w14:textId="77777777" w:rsidR="005A27B9" w:rsidRPr="005A27B9" w:rsidRDefault="005A27B9" w:rsidP="005A27B9">
            <w:pPr>
              <w:numPr>
                <w:ilvl w:val="0"/>
                <w:numId w:val="4"/>
              </w:numPr>
              <w:rPr>
                <w:rFonts w:ascii="Times New Roman" w:hAnsi="Times New Roman" w:cs="Times New Roman"/>
                <w:sz w:val="24"/>
                <w:szCs w:val="24"/>
              </w:rPr>
            </w:pPr>
            <w:r w:rsidRPr="005A27B9">
              <w:rPr>
                <w:rFonts w:ascii="Times New Roman" w:hAnsi="Times New Roman" w:cs="Times New Roman"/>
                <w:sz w:val="24"/>
                <w:szCs w:val="24"/>
              </w:rPr>
              <w:t>Stratēģija nosaka un parāda organizācijas stratēģisko mērķi.</w:t>
            </w:r>
          </w:p>
          <w:p w14:paraId="6FBCCA01" w14:textId="77777777" w:rsidR="005A27B9" w:rsidRPr="005A27B9" w:rsidRDefault="005A27B9" w:rsidP="005A27B9">
            <w:pPr>
              <w:numPr>
                <w:ilvl w:val="0"/>
                <w:numId w:val="4"/>
              </w:numPr>
              <w:rPr>
                <w:rFonts w:ascii="Times New Roman" w:hAnsi="Times New Roman" w:cs="Times New Roman"/>
                <w:sz w:val="24"/>
                <w:szCs w:val="24"/>
              </w:rPr>
            </w:pPr>
            <w:r w:rsidRPr="005A27B9">
              <w:rPr>
                <w:rFonts w:ascii="Times New Roman" w:hAnsi="Times New Roman" w:cs="Times New Roman"/>
                <w:sz w:val="24"/>
                <w:szCs w:val="24"/>
              </w:rPr>
              <w:t>Stratēģija izvēlas organizācijas darbības sfēru.</w:t>
            </w:r>
          </w:p>
          <w:p w14:paraId="389E8977" w14:textId="77777777" w:rsidR="005A27B9" w:rsidRPr="005A27B9" w:rsidRDefault="005A27B9" w:rsidP="005A27B9">
            <w:pPr>
              <w:numPr>
                <w:ilvl w:val="0"/>
                <w:numId w:val="4"/>
              </w:numPr>
              <w:rPr>
                <w:rFonts w:ascii="Times New Roman" w:hAnsi="Times New Roman" w:cs="Times New Roman"/>
                <w:sz w:val="24"/>
                <w:szCs w:val="24"/>
              </w:rPr>
            </w:pPr>
            <w:r w:rsidRPr="005A27B9">
              <w:rPr>
                <w:rFonts w:ascii="Times New Roman" w:hAnsi="Times New Roman" w:cs="Times New Roman"/>
                <w:sz w:val="24"/>
                <w:szCs w:val="24"/>
              </w:rPr>
              <w:t>Stratēģija nodrošina konkurētspējīgu priekšrocību katrā organizācijas darbības nozarē.</w:t>
            </w:r>
          </w:p>
          <w:p w14:paraId="350C72DF" w14:textId="77777777" w:rsidR="005A27B9" w:rsidRPr="005A27B9" w:rsidRDefault="005A27B9" w:rsidP="005A27B9">
            <w:pPr>
              <w:numPr>
                <w:ilvl w:val="0"/>
                <w:numId w:val="4"/>
              </w:numPr>
              <w:rPr>
                <w:rFonts w:ascii="Times New Roman" w:hAnsi="Times New Roman" w:cs="Times New Roman"/>
                <w:sz w:val="24"/>
                <w:szCs w:val="24"/>
              </w:rPr>
            </w:pPr>
            <w:r w:rsidRPr="005A27B9">
              <w:rPr>
                <w:rFonts w:ascii="Times New Roman" w:hAnsi="Times New Roman" w:cs="Times New Roman"/>
                <w:sz w:val="24"/>
                <w:szCs w:val="24"/>
              </w:rPr>
              <w:t>Stratēģija lēmumu pieņemšanas procesā iesaista visus organizācijas hierarhiju līmeņus.</w:t>
            </w:r>
          </w:p>
          <w:p w14:paraId="399FAA48" w14:textId="77777777" w:rsidR="005A27B9" w:rsidRPr="005A27B9" w:rsidRDefault="005A27B9" w:rsidP="005A27B9">
            <w:pPr>
              <w:numPr>
                <w:ilvl w:val="0"/>
                <w:numId w:val="4"/>
              </w:numPr>
              <w:rPr>
                <w:rFonts w:ascii="Times New Roman" w:hAnsi="Times New Roman" w:cs="Times New Roman"/>
                <w:sz w:val="24"/>
                <w:szCs w:val="24"/>
              </w:rPr>
            </w:pPr>
            <w:r w:rsidRPr="005A27B9">
              <w:rPr>
                <w:rFonts w:ascii="Times New Roman" w:hAnsi="Times New Roman" w:cs="Times New Roman"/>
                <w:sz w:val="24"/>
                <w:szCs w:val="24"/>
              </w:rPr>
              <w:t xml:space="preserve">Stratēģija definē ekonomiskus un neekonomiskus labumus tās ieinteresētajām pusēm. </w:t>
            </w:r>
          </w:p>
          <w:p w14:paraId="3D545AC2"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Izstrādājot sabiedrības stratēģiju, pirmais posms ir virziena noteikšana. Parasti to nosaka, definējot vīziju, misiju un galvenos organizācijas mērķus. Tas palīdz saprast, kāpēc tā vispār eksistē, palīdz noteikt virzienu, kādā tas dodas un kur vēlas nonākt. Stratēģijas nevar būt efektīvas, ja sabiedrība skaidri neapzinās savas darbības virzienu.</w:t>
            </w:r>
          </w:p>
          <w:p w14:paraId="682A8CB5"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Sabiedrības galvenā misija, kopš tās dibināšanas dienas, ir bijusi un ir joprojām organizēt - nodrošināt līgumattiecību Tukuma pilsētas un Tukuma novada,  iedzīvotājus , juridiskās personas ,uzņēmumus u.c. ar komunālo pakalpojumu centralizētā siltumapgādes jomā.</w:t>
            </w:r>
            <w:bookmarkStart w:id="0" w:name="_Toc429472149"/>
            <w:r w:rsidRPr="005A27B9">
              <w:rPr>
                <w:rFonts w:ascii="Times New Roman" w:hAnsi="Times New Roman" w:cs="Times New Roman"/>
                <w:sz w:val="24"/>
                <w:szCs w:val="24"/>
              </w:rPr>
              <w:t xml:space="preserve">                                                        </w:t>
            </w:r>
            <w:bookmarkEnd w:id="0"/>
          </w:p>
          <w:p w14:paraId="4364D97D"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 xml:space="preserve">Sabiedrības vīzija ir ilgtspējīgu un kvalitatīvu komunālo pakalpojumu centralizētās siltumapgādes jomā nodrošināšana Tukuma </w:t>
            </w:r>
            <w:proofErr w:type="spellStart"/>
            <w:r w:rsidRPr="005A27B9">
              <w:rPr>
                <w:rFonts w:ascii="Times New Roman" w:hAnsi="Times New Roman" w:cs="Times New Roman"/>
                <w:sz w:val="24"/>
                <w:szCs w:val="24"/>
              </w:rPr>
              <w:t>pilsētā,Tukuma</w:t>
            </w:r>
            <w:proofErr w:type="spellEnd"/>
            <w:r w:rsidRPr="005A27B9">
              <w:rPr>
                <w:rFonts w:ascii="Times New Roman" w:hAnsi="Times New Roman" w:cs="Times New Roman"/>
                <w:sz w:val="24"/>
                <w:szCs w:val="24"/>
              </w:rPr>
              <w:t xml:space="preserve"> novadā.</w:t>
            </w:r>
          </w:p>
          <w:p w14:paraId="0EF8732B"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Sabiedrība ir spējīga nodrošināt ilgtspējīgus kvalitatīvus komunālos pakalpojumus, ražojot, pārvadot un sadalot siltumenerģiju Tukuma pilsētas , Tukuma novada iedzīvotājiem, iestādēm un uzņēmumiem. Visa Sabiedrības darbība ir vērsta uz attīstību, apmierinot pašreizējās vajadzības, neapdraudot nākotnes iespējas un ņemot vērā vides un ekonomikas attīstības dimensijas.</w:t>
            </w:r>
            <w:bookmarkStart w:id="1" w:name="_Toc429472150"/>
            <w:r w:rsidRPr="005A27B9">
              <w:rPr>
                <w:rFonts w:ascii="Times New Roman" w:hAnsi="Times New Roman" w:cs="Times New Roman"/>
                <w:sz w:val="24"/>
                <w:szCs w:val="24"/>
              </w:rPr>
              <w:t xml:space="preserve">                </w:t>
            </w:r>
          </w:p>
          <w:bookmarkEnd w:id="1"/>
          <w:p w14:paraId="6C66FB88"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Sabiedrība, izvērtējot savu līdzšinējo darbību, nākamajam laika periodam izvirza sev šādus stratēģiskos mērķus:</w:t>
            </w:r>
          </w:p>
          <w:p w14:paraId="45CC721D" w14:textId="14F40D17" w:rsidR="005A27B9" w:rsidRPr="005A27B9" w:rsidRDefault="005A27B9" w:rsidP="005A27B9">
            <w:pPr>
              <w:numPr>
                <w:ilvl w:val="0"/>
                <w:numId w:val="5"/>
              </w:numPr>
              <w:rPr>
                <w:rFonts w:ascii="Times New Roman" w:hAnsi="Times New Roman" w:cs="Times New Roman"/>
                <w:sz w:val="24"/>
                <w:szCs w:val="24"/>
              </w:rPr>
            </w:pPr>
            <w:r w:rsidRPr="005A27B9">
              <w:rPr>
                <w:rFonts w:ascii="Times New Roman" w:hAnsi="Times New Roman" w:cs="Times New Roman"/>
                <w:sz w:val="24"/>
                <w:szCs w:val="24"/>
              </w:rPr>
              <w:t xml:space="preserve">Turpināt paaugstināt siltumenerģijas ražošanas efektivitāti, veicot pasākumus katlu lietderības koeficienta paaugstināšanā un kurināmā ekonomijas iegūšanā </w:t>
            </w:r>
          </w:p>
          <w:p w14:paraId="4F4296FB" w14:textId="71A6E413" w:rsidR="005A27B9" w:rsidRPr="005A27B9" w:rsidRDefault="005A27B9" w:rsidP="005A27B9">
            <w:pPr>
              <w:numPr>
                <w:ilvl w:val="0"/>
                <w:numId w:val="5"/>
              </w:numPr>
              <w:rPr>
                <w:rFonts w:ascii="Times New Roman" w:hAnsi="Times New Roman" w:cs="Times New Roman"/>
                <w:sz w:val="24"/>
                <w:szCs w:val="24"/>
              </w:rPr>
            </w:pPr>
            <w:r w:rsidRPr="005A27B9">
              <w:rPr>
                <w:rFonts w:ascii="Times New Roman" w:hAnsi="Times New Roman" w:cs="Times New Roman"/>
                <w:sz w:val="24"/>
                <w:szCs w:val="24"/>
              </w:rPr>
              <w:t xml:space="preserve">Turpināt samazināt siltumenerģijas zudumus pārvades un sadales sistēmā, turpinot rekonstruēt siltumtrases Tukuma pilsētā, Tukuma novadā ,pēc iespējām efektīvi piesaistot ES fondu līdzekļus </w:t>
            </w:r>
          </w:p>
          <w:p w14:paraId="48A6E9DC"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Sabiedrībai stratēģijas darbības laikā sasniedzot izvirzītos mērķus, tiks samazināta negatīvā ietekme uz apkārtējo vidi gar siltumtrašu vietām Tukuma pilsētā, kā arī tiks veicināta energoresursu saudzīga un efektīva izmantošana.</w:t>
            </w:r>
          </w:p>
          <w:p w14:paraId="46666C1F" w14:textId="093CE7B8" w:rsidR="005A27B9" w:rsidRPr="005A27B9" w:rsidRDefault="005A27B9" w:rsidP="005A27B9">
            <w:pPr>
              <w:ind w:left="4"/>
              <w:jc w:val="center"/>
              <w:rPr>
                <w:rFonts w:ascii="Times New Roman" w:hAnsi="Times New Roman" w:cs="Times New Roman"/>
                <w:b/>
                <w:sz w:val="24"/>
                <w:szCs w:val="24"/>
              </w:rPr>
            </w:pPr>
            <w:bookmarkStart w:id="2" w:name="_Toc429472151"/>
            <w:r w:rsidRPr="005A27B9">
              <w:rPr>
                <w:rFonts w:ascii="Times New Roman" w:hAnsi="Times New Roman" w:cs="Times New Roman"/>
                <w:b/>
                <w:sz w:val="24"/>
                <w:szCs w:val="24"/>
              </w:rPr>
              <w:t>Stratēģisko mērķu rezultatīvie rādītāji</w:t>
            </w:r>
            <w:bookmarkEnd w:id="2"/>
          </w:p>
          <w:tbl>
            <w:tblPr>
              <w:tblStyle w:val="Reatabula"/>
              <w:tblW w:w="0" w:type="auto"/>
              <w:tblLook w:val="04A0" w:firstRow="1" w:lastRow="0" w:firstColumn="1" w:lastColumn="0" w:noHBand="0" w:noVBand="1"/>
            </w:tblPr>
            <w:tblGrid>
              <w:gridCol w:w="1615"/>
              <w:gridCol w:w="8670"/>
            </w:tblGrid>
            <w:tr w:rsidR="005A27B9" w:rsidRPr="005A27B9" w14:paraId="755A689D" w14:textId="77777777" w:rsidTr="005A27B9">
              <w:tc>
                <w:tcPr>
                  <w:tcW w:w="1615" w:type="dxa"/>
                  <w:vAlign w:val="center"/>
                </w:tcPr>
                <w:p w14:paraId="624EBAE0" w14:textId="1FEC4050" w:rsidR="005A27B9" w:rsidRPr="005A27B9" w:rsidRDefault="005A27B9" w:rsidP="005A27B9">
                  <w:pPr>
                    <w:ind w:left="4"/>
                    <w:rPr>
                      <w:rFonts w:ascii="Times New Roman" w:hAnsi="Times New Roman" w:cs="Times New Roman"/>
                      <w:b/>
                      <w:sz w:val="24"/>
                      <w:szCs w:val="24"/>
                    </w:rPr>
                  </w:pPr>
                </w:p>
              </w:tc>
              <w:tc>
                <w:tcPr>
                  <w:tcW w:w="8670" w:type="dxa"/>
                  <w:vAlign w:val="center"/>
                </w:tcPr>
                <w:p w14:paraId="01640682"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Turpināt paaugstināt siltumenerģijas ražošanas efektivitāti, veicot pasākumus katlu lietderības koeficienta paaugstināšanā un kurināmā ekonomijas iegūšanā</w:t>
                  </w:r>
                </w:p>
              </w:tc>
            </w:tr>
          </w:tbl>
          <w:p w14:paraId="286C4281"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 xml:space="preserve">Sabiedrības darbības stratēģijas darbības periodā tiks turpināti iesāktie pasākumi ražošanas efektivitātes paaugstināšanai un izmaksu samazināšanai. Sabiedrība ir vērsta uz attīstību. Sabiedrībā tiek un tiks turpināts darbs pie </w:t>
            </w:r>
            <w:proofErr w:type="spellStart"/>
            <w:r w:rsidRPr="005A27B9">
              <w:rPr>
                <w:rFonts w:ascii="Times New Roman" w:hAnsi="Times New Roman" w:cs="Times New Roman"/>
                <w:sz w:val="24"/>
                <w:szCs w:val="24"/>
              </w:rPr>
              <w:t>dūmgāzu</w:t>
            </w:r>
            <w:proofErr w:type="spellEnd"/>
            <w:r w:rsidRPr="005A27B9">
              <w:rPr>
                <w:rFonts w:ascii="Times New Roman" w:hAnsi="Times New Roman" w:cs="Times New Roman"/>
                <w:sz w:val="24"/>
                <w:szCs w:val="24"/>
              </w:rPr>
              <w:t xml:space="preserve"> kondensatora efektivitātes paaugstināšanas, kas nodrošina arī vēl augstāku katlu lietderības </w:t>
            </w:r>
            <w:proofErr w:type="spellStart"/>
            <w:r w:rsidRPr="005A27B9">
              <w:rPr>
                <w:rFonts w:ascii="Times New Roman" w:hAnsi="Times New Roman" w:cs="Times New Roman"/>
                <w:sz w:val="24"/>
                <w:szCs w:val="24"/>
              </w:rPr>
              <w:t>koeficentu</w:t>
            </w:r>
            <w:proofErr w:type="spellEnd"/>
            <w:r w:rsidRPr="005A27B9">
              <w:rPr>
                <w:rFonts w:ascii="Times New Roman" w:hAnsi="Times New Roman" w:cs="Times New Roman"/>
                <w:sz w:val="24"/>
                <w:szCs w:val="24"/>
              </w:rPr>
              <w:t xml:space="preserve">. </w:t>
            </w:r>
          </w:p>
          <w:p w14:paraId="5C400A6E"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Sabiedrībā tiks turpināts darbs pie saules paneļu parka paplašināšanas.</w:t>
            </w:r>
          </w:p>
          <w:tbl>
            <w:tblPr>
              <w:tblStyle w:val="Reatabula"/>
              <w:tblW w:w="0" w:type="auto"/>
              <w:tblInd w:w="137" w:type="dxa"/>
              <w:tblLook w:val="04A0" w:firstRow="1" w:lastRow="0" w:firstColumn="1" w:lastColumn="0" w:noHBand="0" w:noVBand="1"/>
            </w:tblPr>
            <w:tblGrid>
              <w:gridCol w:w="1478"/>
              <w:gridCol w:w="8670"/>
            </w:tblGrid>
            <w:tr w:rsidR="005A27B9" w:rsidRPr="005A27B9" w14:paraId="0B281534" w14:textId="77777777" w:rsidTr="005A27B9">
              <w:tc>
                <w:tcPr>
                  <w:tcW w:w="1478" w:type="dxa"/>
                  <w:vAlign w:val="center"/>
                </w:tcPr>
                <w:p w14:paraId="1FDD0750" w14:textId="456BFB1A" w:rsidR="005A27B9" w:rsidRPr="005A27B9" w:rsidRDefault="005A27B9" w:rsidP="005A27B9">
                  <w:pPr>
                    <w:ind w:left="4"/>
                    <w:rPr>
                      <w:rFonts w:ascii="Times New Roman" w:hAnsi="Times New Roman" w:cs="Times New Roman"/>
                      <w:b/>
                      <w:sz w:val="24"/>
                      <w:szCs w:val="24"/>
                    </w:rPr>
                  </w:pPr>
                </w:p>
              </w:tc>
              <w:tc>
                <w:tcPr>
                  <w:tcW w:w="8670" w:type="dxa"/>
                  <w:vAlign w:val="center"/>
                </w:tcPr>
                <w:p w14:paraId="7D6E4A5F" w14:textId="77777777"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 xml:space="preserve">Būtiski samazināt siltumenerģijas zudumus pārvades un sadales sistēmā, rekonstruējot siltumtrases Tukuma </w:t>
                  </w:r>
                  <w:proofErr w:type="spellStart"/>
                  <w:r w:rsidRPr="005A27B9">
                    <w:rPr>
                      <w:rFonts w:ascii="Times New Roman" w:hAnsi="Times New Roman" w:cs="Times New Roman"/>
                      <w:sz w:val="24"/>
                      <w:szCs w:val="24"/>
                    </w:rPr>
                    <w:t>pilsētā,Tukuma</w:t>
                  </w:r>
                  <w:proofErr w:type="spellEnd"/>
                  <w:r w:rsidRPr="005A27B9">
                    <w:rPr>
                      <w:rFonts w:ascii="Times New Roman" w:hAnsi="Times New Roman" w:cs="Times New Roman"/>
                      <w:sz w:val="24"/>
                      <w:szCs w:val="24"/>
                    </w:rPr>
                    <w:t xml:space="preserve"> novadā</w:t>
                  </w:r>
                </w:p>
              </w:tc>
            </w:tr>
          </w:tbl>
          <w:p w14:paraId="1BC21494" w14:textId="43D7A763" w:rsidR="005A27B9" w:rsidRPr="005A27B9" w:rsidRDefault="005A27B9" w:rsidP="005A27B9">
            <w:pPr>
              <w:ind w:left="4"/>
              <w:rPr>
                <w:rFonts w:ascii="Times New Roman" w:hAnsi="Times New Roman" w:cs="Times New Roman"/>
                <w:sz w:val="24"/>
                <w:szCs w:val="24"/>
              </w:rPr>
            </w:pPr>
            <w:r w:rsidRPr="005A27B9">
              <w:rPr>
                <w:rFonts w:ascii="Times New Roman" w:hAnsi="Times New Roman" w:cs="Times New Roman"/>
                <w:sz w:val="24"/>
                <w:szCs w:val="24"/>
              </w:rPr>
              <w:t>202</w:t>
            </w:r>
            <w:r>
              <w:rPr>
                <w:rFonts w:ascii="Times New Roman" w:hAnsi="Times New Roman" w:cs="Times New Roman"/>
                <w:sz w:val="24"/>
                <w:szCs w:val="24"/>
              </w:rPr>
              <w:t>2-2023.g.</w:t>
            </w:r>
            <w:r w:rsidRPr="005A27B9">
              <w:rPr>
                <w:rFonts w:ascii="Times New Roman" w:hAnsi="Times New Roman" w:cs="Times New Roman"/>
                <w:sz w:val="24"/>
                <w:szCs w:val="24"/>
              </w:rPr>
              <w:t>.gadā kopējie vidējie siltumenerģijas zudumi sabiedrības pārvades un sadales sistēmā bija - Asteru ielas Katlu mājas rajonā – 11,56 %  , Zemītes ielas Katlu mājas rajonā 10,00 % .Darbs pie zudumu samazināšanas tiek intensīvi turpināts arī novada katlu mājās.</w:t>
            </w:r>
          </w:p>
          <w:p w14:paraId="4C3E6820" w14:textId="64C1F99F" w:rsidR="004A6393" w:rsidRDefault="004A6393">
            <w:pPr>
              <w:ind w:left="4"/>
            </w:pPr>
          </w:p>
        </w:tc>
        <w:tc>
          <w:tcPr>
            <w:tcW w:w="241" w:type="dxa"/>
            <w:gridSpan w:val="2"/>
            <w:tcBorders>
              <w:top w:val="double" w:sz="15" w:space="0" w:color="000000"/>
              <w:left w:val="single" w:sz="4" w:space="0" w:color="000000"/>
              <w:bottom w:val="double" w:sz="5" w:space="0" w:color="000000"/>
              <w:right w:val="double" w:sz="15" w:space="0" w:color="000000"/>
            </w:tcBorders>
            <w:vAlign w:val="bottom"/>
          </w:tcPr>
          <w:p w14:paraId="4DC06DB1" w14:textId="16D67C98" w:rsidR="004A6393" w:rsidRDefault="004A6393">
            <w:pPr>
              <w:ind w:left="1"/>
            </w:pPr>
          </w:p>
        </w:tc>
      </w:tr>
    </w:tbl>
    <w:p w14:paraId="1CBDD0E7" w14:textId="7A8139E6" w:rsidR="008250B1" w:rsidRDefault="003F041D">
      <w:pPr>
        <w:spacing w:after="12"/>
        <w:ind w:left="-5" w:hanging="10"/>
      </w:pPr>
      <w:r>
        <w:rPr>
          <w:rFonts w:ascii="Times New Roman" w:eastAsia="Times New Roman" w:hAnsi="Times New Roman" w:cs="Times New Roman"/>
          <w:sz w:val="24"/>
        </w:rPr>
        <w:t xml:space="preserve">SIA “Tukuma </w:t>
      </w:r>
      <w:r w:rsidR="00772789">
        <w:rPr>
          <w:rFonts w:ascii="Times New Roman" w:eastAsia="Times New Roman" w:hAnsi="Times New Roman" w:cs="Times New Roman"/>
          <w:sz w:val="24"/>
        </w:rPr>
        <w:t>siltums</w:t>
      </w:r>
      <w:r>
        <w:rPr>
          <w:rFonts w:ascii="Times New Roman" w:eastAsia="Times New Roman" w:hAnsi="Times New Roman" w:cs="Times New Roman"/>
          <w:sz w:val="24"/>
        </w:rPr>
        <w:t xml:space="preserve">”  </w:t>
      </w:r>
    </w:p>
    <w:p w14:paraId="3903E00C" w14:textId="6506EDAE" w:rsidR="008250B1" w:rsidRDefault="003F041D">
      <w:pPr>
        <w:tabs>
          <w:tab w:val="center" w:pos="2160"/>
          <w:tab w:val="center" w:pos="2880"/>
          <w:tab w:val="center" w:pos="3600"/>
          <w:tab w:val="center" w:pos="4320"/>
          <w:tab w:val="center" w:pos="5041"/>
          <w:tab w:val="center" w:pos="5761"/>
          <w:tab w:val="center" w:pos="6481"/>
          <w:tab w:val="center" w:pos="7201"/>
          <w:tab w:val="center" w:pos="7921"/>
          <w:tab w:val="center" w:pos="8641"/>
          <w:tab w:val="center" w:pos="9361"/>
          <w:tab w:val="center" w:pos="10801"/>
          <w:tab w:val="center" w:pos="11521"/>
          <w:tab w:val="center" w:pos="13331"/>
        </w:tabs>
        <w:spacing w:after="12"/>
        <w:ind w:left="-15"/>
      </w:pPr>
      <w:r>
        <w:rPr>
          <w:rFonts w:ascii="Times New Roman" w:eastAsia="Times New Roman" w:hAnsi="Times New Roman" w:cs="Times New Roman"/>
          <w:sz w:val="24"/>
        </w:rPr>
        <w:t xml:space="preserve">valdes loceklis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772789">
        <w:rPr>
          <w:rFonts w:ascii="Times New Roman" w:eastAsia="Times New Roman" w:hAnsi="Times New Roman" w:cs="Times New Roman"/>
          <w:sz w:val="24"/>
        </w:rPr>
        <w:t>Gundars Kūla</w:t>
      </w:r>
      <w:r>
        <w:rPr>
          <w:rFonts w:ascii="Times New Roman" w:eastAsia="Times New Roman" w:hAnsi="Times New Roman" w:cs="Times New Roman"/>
          <w:sz w:val="24"/>
        </w:rPr>
        <w:t xml:space="preserve"> </w:t>
      </w:r>
    </w:p>
    <w:sectPr w:rsidR="008250B1" w:rsidSect="004A6393">
      <w:pgSz w:w="11906" w:h="16838"/>
      <w:pgMar w:top="685" w:right="773" w:bottom="720" w:left="72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40524"/>
    <w:multiLevelType w:val="hybridMultilevel"/>
    <w:tmpl w:val="CAD8518E"/>
    <w:lvl w:ilvl="0" w:tplc="38F8E1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E6813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9410F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FC2AC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5C335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8E411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4ABC7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26CB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ACB432">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2040D3"/>
    <w:multiLevelType w:val="hybridMultilevel"/>
    <w:tmpl w:val="4770083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FD75CFD"/>
    <w:multiLevelType w:val="hybridMultilevel"/>
    <w:tmpl w:val="63483730"/>
    <w:lvl w:ilvl="0" w:tplc="B0BA5504">
      <w:start w:val="1"/>
      <w:numFmt w:val="decimal"/>
      <w:lvlText w:val="%1."/>
      <w:lvlJc w:val="left"/>
      <w:pPr>
        <w:ind w:left="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5A0AAE8">
      <w:start w:val="1"/>
      <w:numFmt w:val="lowerLetter"/>
      <w:lvlText w:val="%2"/>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A842FCE">
      <w:start w:val="1"/>
      <w:numFmt w:val="lowerRoman"/>
      <w:lvlText w:val="%3"/>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DF608C8">
      <w:start w:val="1"/>
      <w:numFmt w:val="decimal"/>
      <w:lvlText w:val="%4"/>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1274EE">
      <w:start w:val="1"/>
      <w:numFmt w:val="lowerLetter"/>
      <w:lvlText w:val="%5"/>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1AC8B6C">
      <w:start w:val="1"/>
      <w:numFmt w:val="lowerRoman"/>
      <w:lvlText w:val="%6"/>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98CB154">
      <w:start w:val="1"/>
      <w:numFmt w:val="decimal"/>
      <w:lvlText w:val="%7"/>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EF48AA4">
      <w:start w:val="1"/>
      <w:numFmt w:val="lowerLetter"/>
      <w:lvlText w:val="%8"/>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38438E">
      <w:start w:val="1"/>
      <w:numFmt w:val="lowerRoman"/>
      <w:lvlText w:val="%9"/>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ED701A"/>
    <w:multiLevelType w:val="multilevel"/>
    <w:tmpl w:val="DC2C2D02"/>
    <w:lvl w:ilvl="0">
      <w:start w:val="1"/>
      <w:numFmt w:val="decimal"/>
      <w:lvlText w:val="%1."/>
      <w:lvlJc w:val="left"/>
      <w:pPr>
        <w:tabs>
          <w:tab w:val="num" w:pos="1211"/>
        </w:tabs>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4FE7769"/>
    <w:multiLevelType w:val="hybridMultilevel"/>
    <w:tmpl w:val="B50642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B1"/>
    <w:rsid w:val="003169EE"/>
    <w:rsid w:val="003F041D"/>
    <w:rsid w:val="004A6393"/>
    <w:rsid w:val="005A27B9"/>
    <w:rsid w:val="00772789"/>
    <w:rsid w:val="00825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B56E"/>
  <w15:docId w15:val="{788F1EF9-5EA6-4038-911E-778F8131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2">
    <w:name w:val="heading 2"/>
    <w:basedOn w:val="Parasts"/>
    <w:next w:val="Parasts"/>
    <w:link w:val="Virsraksts2Rakstz"/>
    <w:qFormat/>
    <w:rsid w:val="004A6393"/>
    <w:pPr>
      <w:keepNext/>
      <w:spacing w:before="240" w:after="60" w:line="240" w:lineRule="auto"/>
      <w:outlineLvl w:val="1"/>
    </w:pPr>
    <w:rPr>
      <w:rFonts w:ascii="Verdana" w:eastAsia="Times New Roman" w:hAnsi="Verdana" w:cs="Times New Roman"/>
      <w:sz w:val="28"/>
      <w:szCs w:val="2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Reatabula">
    <w:name w:val="Table Grid"/>
    <w:basedOn w:val="Parastatabula"/>
    <w:uiPriority w:val="39"/>
    <w:rsid w:val="0031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169EE"/>
    <w:pPr>
      <w:ind w:left="720"/>
      <w:contextualSpacing/>
    </w:pPr>
    <w:rPr>
      <w:rFonts w:asciiTheme="minorHAnsi" w:eastAsiaTheme="minorHAnsi" w:hAnsiTheme="minorHAnsi" w:cstheme="minorBidi"/>
      <w:noProof/>
      <w:color w:val="auto"/>
      <w:lang w:eastAsia="en-US"/>
    </w:rPr>
  </w:style>
  <w:style w:type="character" w:customStyle="1" w:styleId="Virsraksts2Rakstz">
    <w:name w:val="Virsraksts 2 Rakstz."/>
    <w:basedOn w:val="Noklusjumarindkopasfonts"/>
    <w:link w:val="Virsraksts2"/>
    <w:rsid w:val="004A6393"/>
    <w:rPr>
      <w:rFonts w:ascii="Verdana" w:eastAsia="Times New Roman" w:hAnsi="Verdana"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E62B.E8FB36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2335</Words>
  <Characters>1332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dc:creator>
  <cp:keywords/>
  <cp:lastModifiedBy>Marite</cp:lastModifiedBy>
  <cp:revision>2</cp:revision>
  <dcterms:created xsi:type="dcterms:W3CDTF">2026-03-19T12:27:00Z</dcterms:created>
  <dcterms:modified xsi:type="dcterms:W3CDTF">2026-03-19T12:27:00Z</dcterms:modified>
</cp:coreProperties>
</file>